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016CF1" w14:textId="3FD86828" w:rsidR="005F5865" w:rsidRPr="00602A32" w:rsidRDefault="00535C80" w:rsidP="00602A32">
      <w:pPr>
        <w:pStyle w:val="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I. </w:t>
      </w:r>
      <w:r w:rsidR="005F5865" w:rsidRPr="00602A32">
        <w:rPr>
          <w:rFonts w:eastAsia="Malgun Gothic"/>
          <w:lang w:eastAsia="ko-KR"/>
        </w:rPr>
        <w:t>Graphs of key kinetic parameters</w:t>
      </w:r>
    </w:p>
    <w:p w14:paraId="02BD435B" w14:textId="77777777" w:rsidR="005F5865" w:rsidRPr="005F5865" w:rsidRDefault="005F5865" w:rsidP="001525D4">
      <w:pPr>
        <w:widowControl/>
        <w:numPr>
          <w:ilvl w:val="0"/>
          <w:numId w:val="2"/>
        </w:numPr>
        <w:spacing w:line="278" w:lineRule="auto"/>
        <w:ind w:left="0" w:firstLineChars="200" w:firstLine="480"/>
        <w:jc w:val="left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  <w:proofErr w:type="spellStart"/>
      <w:r w:rsidRPr="005F5865">
        <w:rPr>
          <w:rFonts w:ascii="Times New Roman" w:eastAsia="Malgun Gothic" w:hAnsi="Times New Roman" w:cs="Times New Roman"/>
          <w:b/>
          <w:bCs/>
          <w:sz w:val="24"/>
          <w:szCs w:val="24"/>
          <w:lang w:eastAsia="ko-KR"/>
          <w14:ligatures w14:val="standardContextual"/>
        </w:rPr>
        <w:t>R</w:t>
      </w:r>
      <w:r w:rsidRPr="005F5865">
        <w:rPr>
          <w:rFonts w:ascii="Times New Roman" w:eastAsia="Malgun Gothic" w:hAnsi="Times New Roman" w:cs="Times New Roman"/>
          <w:b/>
          <w:bCs/>
          <w:sz w:val="24"/>
          <w:szCs w:val="24"/>
          <w:vertAlign w:val="subscript"/>
          <w:lang w:eastAsia="ko-KR"/>
          <w14:ligatures w14:val="standardContextual"/>
        </w:rPr>
        <w:t>max</w:t>
      </w:r>
      <w:proofErr w:type="spellEnd"/>
      <w:r w:rsidRPr="005F5865">
        <w:rPr>
          <w:rFonts w:ascii="Times New Roman" w:eastAsia="Malgun Gothic" w:hAnsi="Times New Roman" w:cs="Times New Roman"/>
          <w:b/>
          <w:bCs/>
          <w:sz w:val="24"/>
          <w:szCs w:val="24"/>
          <w:lang w:eastAsia="ko-KR"/>
          <w14:ligatures w14:val="standardContextual"/>
        </w:rPr>
        <w:t xml:space="preserve"> vs. Concentration</w:t>
      </w:r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: This graph shows the maximum response (</w:t>
      </w:r>
      <w:proofErr w:type="spellStart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R</w:t>
      </w:r>
      <w:r w:rsidRPr="005F5865">
        <w:rPr>
          <w:rFonts w:ascii="Times New Roman" w:eastAsia="Malgun Gothic" w:hAnsi="Times New Roman" w:cs="Times New Roman"/>
          <w:sz w:val="24"/>
          <w:szCs w:val="24"/>
          <w:vertAlign w:val="subscript"/>
          <w:lang w:eastAsia="ko-KR"/>
          <w14:ligatures w14:val="standardContextual"/>
        </w:rPr>
        <w:t>max</w:t>
      </w:r>
      <w:proofErr w:type="spellEnd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) for OH-</w:t>
      </w:r>
      <w:proofErr w:type="spellStart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Cbl</w:t>
      </w:r>
      <w:proofErr w:type="spellEnd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 and NO-</w:t>
      </w:r>
      <w:proofErr w:type="spellStart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Cbl</w:t>
      </w:r>
      <w:proofErr w:type="spellEnd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 at different concentrations.</w:t>
      </w:r>
    </w:p>
    <w:p w14:paraId="31CD9974" w14:textId="77777777" w:rsidR="005F5865" w:rsidRPr="005F5865" w:rsidRDefault="005F5865" w:rsidP="001525D4">
      <w:pPr>
        <w:widowControl/>
        <w:numPr>
          <w:ilvl w:val="0"/>
          <w:numId w:val="2"/>
        </w:numPr>
        <w:spacing w:line="278" w:lineRule="auto"/>
        <w:ind w:left="0" w:firstLineChars="200" w:firstLine="480"/>
        <w:jc w:val="left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  <w:proofErr w:type="spellStart"/>
      <w:r w:rsidRPr="005F5865">
        <w:rPr>
          <w:rFonts w:ascii="Times New Roman" w:eastAsia="Malgun Gothic" w:hAnsi="Times New Roman" w:cs="Times New Roman"/>
          <w:b/>
          <w:bCs/>
          <w:sz w:val="24"/>
          <w:szCs w:val="24"/>
          <w:lang w:eastAsia="ko-KR"/>
          <w14:ligatures w14:val="standardContextual"/>
        </w:rPr>
        <w:t>k</w:t>
      </w:r>
      <w:r w:rsidRPr="005F5865">
        <w:rPr>
          <w:rFonts w:ascii="Times New Roman" w:eastAsia="Malgun Gothic" w:hAnsi="Times New Roman" w:cs="Times New Roman"/>
          <w:b/>
          <w:bCs/>
          <w:sz w:val="24"/>
          <w:szCs w:val="24"/>
          <w:vertAlign w:val="subscript"/>
          <w:lang w:eastAsia="ko-KR"/>
          <w14:ligatures w14:val="standardContextual"/>
        </w:rPr>
        <w:t>obs</w:t>
      </w:r>
      <w:proofErr w:type="spellEnd"/>
      <w:r w:rsidRPr="005F5865">
        <w:rPr>
          <w:rFonts w:ascii="Times New Roman" w:eastAsia="Malgun Gothic" w:hAnsi="Times New Roman" w:cs="Times New Roman"/>
          <w:b/>
          <w:bCs/>
          <w:sz w:val="24"/>
          <w:szCs w:val="24"/>
          <w:lang w:eastAsia="ko-KR"/>
          <w14:ligatures w14:val="standardContextual"/>
        </w:rPr>
        <w:t xml:space="preserve"> vs. Concentration</w:t>
      </w:r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: This graph illustrates the obse</w:t>
      </w:r>
      <w:bookmarkStart w:id="0" w:name="_GoBack"/>
      <w:bookmarkEnd w:id="0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rved rate constants for OH-</w:t>
      </w:r>
      <w:proofErr w:type="spellStart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Cbl</w:t>
      </w:r>
      <w:proofErr w:type="spellEnd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 and NO-</w:t>
      </w:r>
      <w:proofErr w:type="spellStart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Cbl</w:t>
      </w:r>
      <w:proofErr w:type="spellEnd"/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 across the tested concentration range.</w:t>
      </w:r>
    </w:p>
    <w:p w14:paraId="3784D51B" w14:textId="77777777" w:rsidR="005F5865" w:rsidRPr="005F5865" w:rsidRDefault="005F5865" w:rsidP="001525D4">
      <w:pPr>
        <w:widowControl/>
        <w:spacing w:line="278" w:lineRule="auto"/>
        <w:ind w:firstLineChars="200" w:firstLine="480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  <w:r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Both graphs are plotted on a logarithmic scale for the x-axis to emphasize the trends across orders of magnitude in concentration. </w:t>
      </w:r>
    </w:p>
    <w:p w14:paraId="7DF02EBE" w14:textId="77777777" w:rsidR="005F5865" w:rsidRPr="005F5865" w:rsidRDefault="005F5865" w:rsidP="005F5865">
      <w:pPr>
        <w:widowControl/>
        <w:spacing w:after="160" w:line="278" w:lineRule="auto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</w:p>
    <w:p w14:paraId="023E293C" w14:textId="77777777" w:rsidR="005F5865" w:rsidRPr="005F5865" w:rsidRDefault="005F5865" w:rsidP="00DF148D">
      <w:pPr>
        <w:pStyle w:val="Figure"/>
        <w:rPr>
          <w:rFonts w:eastAsia="Malgun Gothic"/>
        </w:rPr>
      </w:pPr>
      <w:r w:rsidRPr="005F5865">
        <w:rPr>
          <w:rFonts w:eastAsia="Malgun Gothic"/>
          <w:noProof/>
        </w:rPr>
        <w:drawing>
          <wp:inline distT="0" distB="0" distL="0" distR="0" wp14:anchorId="4EC552F1" wp14:editId="33C4F7CA">
            <wp:extent cx="5076190" cy="6358255"/>
            <wp:effectExtent l="0" t="0" r="0" b="4445"/>
            <wp:docPr id="1749935123" name="Picture 1" descr="A graph of different size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935123" name="Picture 1" descr="A graph of different sizes and numbers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190" cy="635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C0A02A" w14:textId="77777777" w:rsidR="005F5865" w:rsidRPr="005F5865" w:rsidRDefault="005F5865" w:rsidP="005F5865">
      <w:pPr>
        <w:widowControl/>
        <w:spacing w:after="160" w:line="278" w:lineRule="auto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</w:p>
    <w:p w14:paraId="69CD3C08" w14:textId="77777777" w:rsidR="005F5865" w:rsidRPr="005F5865" w:rsidRDefault="005F5865" w:rsidP="005F5865">
      <w:pPr>
        <w:widowControl/>
        <w:spacing w:after="160" w:line="278" w:lineRule="auto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</w:p>
    <w:p w14:paraId="349F5093" w14:textId="5F13FA6E" w:rsidR="005F5865" w:rsidRPr="005F5865" w:rsidRDefault="00535C80" w:rsidP="00602A32">
      <w:pPr>
        <w:pStyle w:val="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lastRenderedPageBreak/>
        <w:t xml:space="preserve">II. </w:t>
      </w:r>
      <w:r w:rsidR="005F5865" w:rsidRPr="005F5865">
        <w:rPr>
          <w:rFonts w:eastAsia="Malgun Gothic"/>
          <w:lang w:eastAsia="ko-KR"/>
        </w:rPr>
        <w:t>Summary of Kinetic Parameters</w:t>
      </w:r>
    </w:p>
    <w:p w14:paraId="5EE2D644" w14:textId="77777777" w:rsidR="005F5865" w:rsidRPr="005F5865" w:rsidRDefault="005F5865" w:rsidP="005F5865">
      <w:pPr>
        <w:widowControl/>
        <w:spacing w:after="160" w:line="278" w:lineRule="auto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  <w:r w:rsidRPr="005F5865">
        <w:rPr>
          <w:rFonts w:ascii="Times New Roman" w:eastAsia="Malgun Gothic" w:hAnsi="Times New Roman" w:cs="Times New Roman"/>
          <w:noProof/>
          <w:sz w:val="24"/>
          <w:szCs w:val="24"/>
          <w:lang w:eastAsia="ko-KR"/>
          <w14:ligatures w14:val="standardContextual"/>
        </w:rPr>
        <w:drawing>
          <wp:inline distT="0" distB="0" distL="0" distR="0" wp14:anchorId="747171B9" wp14:editId="0F37F25E">
            <wp:extent cx="5861050" cy="1660204"/>
            <wp:effectExtent l="0" t="0" r="6350" b="0"/>
            <wp:docPr id="129052177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0521773" name="Picture 1" descr="A screenshot of a computer&#10;&#10;Description automatically generated"/>
                    <pic:cNvPicPr/>
                  </pic:nvPicPr>
                  <pic:blipFill rotWithShape="1">
                    <a:blip r:embed="rId8"/>
                    <a:srcRect t="16387"/>
                    <a:stretch/>
                  </pic:blipFill>
                  <pic:spPr bwMode="auto">
                    <a:xfrm>
                      <a:off x="0" y="0"/>
                      <a:ext cx="5915064" cy="16755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42D7C1" w14:textId="77777777" w:rsidR="005F5865" w:rsidRPr="001525D4" w:rsidRDefault="005F5865" w:rsidP="001525D4">
      <w:pPr>
        <w:widowControl/>
        <w:spacing w:line="278" w:lineRule="auto"/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</w:pPr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The Langmuir fit is a widely used mathematical model for analyzing binding interactions, particularly in surface plasmon resonance (SPR) studies. This model is based on the Langmuir adsorption isotherm and assumes a reversible 1:1 interaction between an analyte and a ligand, with uniform and independent binding sites. The fitting process involves using experimental data to calculate key parameters, including the association rate constant (ka​), dissociation rate constant (</w:t>
      </w:r>
      <w:proofErr w:type="spellStart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kd</w:t>
      </w:r>
      <w:proofErr w:type="spellEnd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), and the equilibrium dissociation constant (KD​), which reflects binding affinity. The Langmuir equation predicts the response (R) as a function of analyte concentration (C) and the total binding capacity (</w:t>
      </w:r>
      <w:proofErr w:type="spellStart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Rmax</w:t>
      </w:r>
      <w:proofErr w:type="spellEnd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​).</w:t>
      </w:r>
    </w:p>
    <w:p w14:paraId="17DD98D1" w14:textId="04B74B6E" w:rsidR="005F5865" w:rsidRPr="001525D4" w:rsidRDefault="005F5865" w:rsidP="001525D4">
      <w:pPr>
        <w:widowControl/>
        <w:spacing w:line="278" w:lineRule="auto"/>
        <w:rPr>
          <w:rFonts w:ascii="Times New Roman" w:eastAsia="Malgun Gothic" w:hAnsi="Times New Roman" w:cs="Times New Roman" w:hint="eastAsia"/>
          <w:sz w:val="24"/>
          <w:szCs w:val="24"/>
          <w:lang w:eastAsia="ko-KR"/>
          <w14:ligatures w14:val="standardContextual"/>
        </w:rPr>
      </w:pPr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The equilibrium dissociation constant (KD​) is particularly important as it represents the analyte concentration at which half of the ligand sites are occupied, offering a direct measure of binding strength. Errors and uncertainties in the parameters are quantified using the chi-square goodness-of-fit metric which ensures the reliability of the derived kinetic values. By employing this robust analytical framework, our study elucidates the binding properties of NO-</w:t>
      </w:r>
      <w:proofErr w:type="spellStart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Cbl</w:t>
      </w:r>
      <w:proofErr w:type="spellEnd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 and OH-</w:t>
      </w:r>
      <w:proofErr w:type="spellStart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Cbl</w:t>
      </w:r>
      <w:proofErr w:type="spellEnd"/>
      <w:r w:rsidRPr="001525D4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 with intrinsic factor, linking these findings to their biological and therapeutic relevance. </w:t>
      </w:r>
    </w:p>
    <w:p w14:paraId="2B3C577B" w14:textId="2B6B79E8" w:rsidR="005F5865" w:rsidRPr="005F5865" w:rsidRDefault="00535C80" w:rsidP="00602A32">
      <w:pPr>
        <w:pStyle w:val="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III. </w:t>
      </w:r>
      <w:r w:rsidR="005F5865" w:rsidRPr="005F5865">
        <w:rPr>
          <w:rFonts w:eastAsia="Malgun Gothic"/>
          <w:lang w:eastAsia="ko-KR"/>
        </w:rPr>
        <w:t>Spearman Rank Correlation</w:t>
      </w:r>
    </w:p>
    <w:p w14:paraId="44F4D416" w14:textId="77777777" w:rsidR="005F5865" w:rsidRPr="005F5865" w:rsidRDefault="005F5865" w:rsidP="00DF148D">
      <w:pPr>
        <w:pStyle w:val="Figure"/>
        <w:rPr>
          <w:rFonts w:eastAsia="Malgun Gothic"/>
        </w:rPr>
      </w:pPr>
      <w:r w:rsidRPr="005F5865">
        <w:rPr>
          <w:rFonts w:eastAsia="Malgun Gothic"/>
          <w:noProof/>
        </w:rPr>
        <w:drawing>
          <wp:inline distT="0" distB="0" distL="0" distR="0" wp14:anchorId="7E69EF02" wp14:editId="6D160EDE">
            <wp:extent cx="6467475" cy="1040765"/>
            <wp:effectExtent l="0" t="0" r="9525" b="6985"/>
            <wp:docPr id="17383066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1040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228AF4" w14:textId="77777777" w:rsidR="005F5865" w:rsidRPr="005F5865" w:rsidRDefault="005F5865" w:rsidP="00DF148D">
      <w:pPr>
        <w:pStyle w:val="Figure"/>
        <w:rPr>
          <w:rFonts w:eastAsia="Malgun Gothic"/>
        </w:rPr>
      </w:pPr>
      <w:r w:rsidRPr="005F5865">
        <w:rPr>
          <w:rFonts w:eastAsia="Malgun Gothic"/>
          <w:noProof/>
        </w:rPr>
        <w:lastRenderedPageBreak/>
        <w:drawing>
          <wp:inline distT="0" distB="0" distL="0" distR="0" wp14:anchorId="30E6D408" wp14:editId="17A18818">
            <wp:extent cx="4657725" cy="3106420"/>
            <wp:effectExtent l="0" t="0" r="0" b="0"/>
            <wp:docPr id="180285148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10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3BB80E" w14:textId="2E80848D" w:rsidR="005F5865" w:rsidRDefault="00535C80" w:rsidP="00535C80">
      <w:pPr>
        <w:pStyle w:val="1"/>
        <w:rPr>
          <w:rFonts w:eastAsia="Malgun Gothic"/>
        </w:rPr>
      </w:pPr>
      <w:r>
        <w:rPr>
          <w:rFonts w:eastAsia="Malgun Gothic"/>
        </w:rPr>
        <w:t xml:space="preserve">IV. </w:t>
      </w:r>
      <w:r w:rsidR="005F5865" w:rsidRPr="005F5865">
        <w:rPr>
          <w:rFonts w:eastAsia="Malgun Gothic"/>
        </w:rPr>
        <w:t xml:space="preserve">Schematic Illustration of a Biacore™ Sensorgram (Cytiva Life Sciences) </w:t>
      </w:r>
    </w:p>
    <w:p w14:paraId="2D67D3E8" w14:textId="2B82D8E9" w:rsidR="00535C80" w:rsidRPr="00535C80" w:rsidRDefault="00535C80" w:rsidP="00535C80">
      <w:pPr>
        <w:pStyle w:val="Figure"/>
        <w:rPr>
          <w:rFonts w:eastAsia="Malgun Gothic"/>
        </w:rPr>
      </w:pPr>
      <w:r w:rsidRPr="00535C80">
        <w:rPr>
          <w:rFonts w:eastAsia="Malgun Gothic"/>
        </w:rPr>
        <w:drawing>
          <wp:inline distT="0" distB="0" distL="0" distR="0" wp14:anchorId="55C828A0" wp14:editId="7ACB74FD">
            <wp:extent cx="5944235" cy="4072255"/>
            <wp:effectExtent l="0" t="0" r="0" b="4445"/>
            <wp:docPr id="16514904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35" cy="407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4B4EBA" w14:textId="2A4532D6" w:rsidR="0014134E" w:rsidRPr="005F5865" w:rsidRDefault="00535C80" w:rsidP="001525D4">
      <w:pPr>
        <w:widowControl/>
        <w:spacing w:line="278" w:lineRule="auto"/>
      </w:pPr>
      <w:proofErr w:type="spellStart"/>
      <w:r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D</w:t>
      </w:r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ring</w:t>
      </w:r>
      <w:proofErr w:type="spellEnd"/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 sample injection, a positive response can be viewed in the </w:t>
      </w:r>
      <w:proofErr w:type="spellStart"/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sensorgram</w:t>
      </w:r>
      <w:proofErr w:type="spellEnd"/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, as analyte (the interacting partner in solution in </w:t>
      </w:r>
      <w:proofErr w:type="spellStart"/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Biacore</w:t>
      </w:r>
      <w:proofErr w:type="spellEnd"/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 xml:space="preserve">™ based assays) binds to the ligand (the interaction partner that is attached to the sensor surface in </w:t>
      </w:r>
      <w:proofErr w:type="spellStart"/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Biacore</w:t>
      </w:r>
      <w:proofErr w:type="spellEnd"/>
      <w:r w:rsidR="005F5865" w:rsidRPr="005F5865">
        <w:rPr>
          <w:rFonts w:ascii="Times New Roman" w:eastAsia="Malgun Gothic" w:hAnsi="Times New Roman" w:cs="Times New Roman"/>
          <w:sz w:val="24"/>
          <w:szCs w:val="24"/>
          <w:lang w:eastAsia="ko-KR"/>
          <w14:ligatures w14:val="standardContextual"/>
        </w:rPr>
        <w:t>™ based assays). The response decreases during dissociation. After an analysis cycle is completed, regeneration solution is passed over the sensor chip, removing bound analyte, preparing for the next analysis cycle.</w:t>
      </w:r>
    </w:p>
    <w:sectPr w:rsidR="0014134E" w:rsidRPr="005F5865" w:rsidSect="00DF148D">
      <w:pgSz w:w="11906" w:h="16838"/>
      <w:pgMar w:top="1134" w:right="1134" w:bottom="1134" w:left="1134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D01E4" w14:textId="77777777" w:rsidR="00715A31" w:rsidRDefault="00715A31" w:rsidP="005F5865">
      <w:r>
        <w:separator/>
      </w:r>
    </w:p>
  </w:endnote>
  <w:endnote w:type="continuationSeparator" w:id="0">
    <w:p w14:paraId="6619C7CF" w14:textId="77777777" w:rsidR="00715A31" w:rsidRDefault="00715A31" w:rsidP="005F5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6751B" w14:textId="77777777" w:rsidR="00715A31" w:rsidRDefault="00715A31" w:rsidP="005F5865">
      <w:r>
        <w:separator/>
      </w:r>
    </w:p>
  </w:footnote>
  <w:footnote w:type="continuationSeparator" w:id="0">
    <w:p w14:paraId="5F9E86F5" w14:textId="77777777" w:rsidR="00715A31" w:rsidRDefault="00715A31" w:rsidP="005F5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30AE32E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9621C"/>
    <w:multiLevelType w:val="hybridMultilevel"/>
    <w:tmpl w:val="0F2C832E"/>
    <w:lvl w:ilvl="0" w:tplc="2B96A1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132ED0"/>
    <w:multiLevelType w:val="multilevel"/>
    <w:tmpl w:val="28F49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16C"/>
    <w:rsid w:val="0004031E"/>
    <w:rsid w:val="00053DEB"/>
    <w:rsid w:val="001525D4"/>
    <w:rsid w:val="001571A5"/>
    <w:rsid w:val="0017116C"/>
    <w:rsid w:val="001C4626"/>
    <w:rsid w:val="002B4AF5"/>
    <w:rsid w:val="00416460"/>
    <w:rsid w:val="00535C80"/>
    <w:rsid w:val="005672F2"/>
    <w:rsid w:val="005F5865"/>
    <w:rsid w:val="00602A32"/>
    <w:rsid w:val="00684E7F"/>
    <w:rsid w:val="00715A31"/>
    <w:rsid w:val="0073565B"/>
    <w:rsid w:val="008B5CD3"/>
    <w:rsid w:val="008F3870"/>
    <w:rsid w:val="00A11BB4"/>
    <w:rsid w:val="00AE4751"/>
    <w:rsid w:val="00D73BDF"/>
    <w:rsid w:val="00DF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A67EA"/>
  <w15:chartTrackingRefBased/>
  <w15:docId w15:val="{DFE006F2-036A-4C29-B17B-434D2ABAB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</w:latentStyles>
  <w:style w:type="paragraph" w:default="1" w:styleId="a">
    <w:name w:val="Normal"/>
    <w:semiHidden/>
    <w:qFormat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DF148D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DF148D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DF148D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DF148D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DF148D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DF148D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DF148D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DF148D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DF148D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DF148D"/>
    <w:pPr>
      <w:numPr>
        <w:numId w:val="4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DF148D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DF148D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DF148D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DF148D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DF148D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DF148D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DF148D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DF148D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DF148D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DF148D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DF148D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DF148D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DF148D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DF148D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DF148D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DF148D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DF148D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DF148D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styleId="a3">
    <w:name w:val="header"/>
    <w:basedOn w:val="a"/>
    <w:link w:val="a4"/>
    <w:uiPriority w:val="99"/>
    <w:semiHidden/>
    <w:rsid w:val="005F58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F148D"/>
    <w:rPr>
      <w:sz w:val="18"/>
      <w:szCs w:val="18"/>
    </w:rPr>
  </w:style>
  <w:style w:type="paragraph" w:styleId="a5">
    <w:name w:val="footer"/>
    <w:basedOn w:val="a"/>
    <w:link w:val="a6"/>
    <w:uiPriority w:val="99"/>
    <w:semiHidden/>
    <w:rsid w:val="005F58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F14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</dc:creator>
  <cp:keywords/>
  <dc:description/>
  <cp:lastModifiedBy>MA</cp:lastModifiedBy>
  <cp:revision>9</cp:revision>
  <dcterms:created xsi:type="dcterms:W3CDTF">2025-01-08T03:21:00Z</dcterms:created>
  <dcterms:modified xsi:type="dcterms:W3CDTF">2025-01-08T06:31:00Z</dcterms:modified>
</cp:coreProperties>
</file>